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b/>
        </w:rPr>
        <w:t xml:space="preserve">CONTRATTO INTEGRATIVO</w:t>
      </w:r>
    </w:p>
    <w:p>
      <w:pPr/>
      <w:r>
        <w:rPr>
          <w:rFonts w:ascii="Times New Roman" w:h-ansi="Times New Roman" w:cs="Times New Roman"/>
          <w:sz w:val="24"/>
          <w:sz-cs w:val="24"/>
          <w:b/>
        </w:rPr>
        <w:t xml:space="preserve">TRA LE OO.SS. REGIONALI DELLA SCUOLA    FLC – CGIL; CISL; UIL; SNALS ;  GILDA</w:t>
      </w:r>
    </w:p>
    <w:p>
      <w:pPr/>
      <w:r>
        <w:rPr>
          <w:rFonts w:ascii="Times New Roman" w:h-ansi="Times New Roman" w:cs="Times New Roman"/>
          <w:sz w:val="24"/>
          <w:sz-cs w:val="24"/>
          <w:b/>
        </w:rPr>
        <w:t xml:space="preserve">E LA DIREZIONE SCOLASTICA REGIONALE DELL’UMBRIA</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Concernente le definizione delle modalità di accesso delle scuole al fondo regionale per la lotta all’emarginazione scolastica, nonché la definizione degli obiettivi specifici da perseguire, i sistemi di rilevazione dei risultati compresa la durata dei progetti.</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Il  giorno  16 dicembre 2008 alle  ore  9,30 presso  l'Ufficio  Scolastico  Regionale  dell’Umbria, in sede di negoziazione decentrata di livello regionale viene  concluso e concordato il seguente </w:t>
      </w:r>
      <w:r>
        <w:rPr>
          <w:rFonts w:ascii="Times New Roman" w:h-ansi="Times New Roman" w:cs="Times New Roman"/>
          <w:sz w:val="24"/>
          <w:sz-cs w:val="24"/>
          <w:b/>
        </w:rPr>
        <w:t xml:space="preserve">contratto integrativo</w:t>
      </w:r>
      <w:r>
        <w:rPr>
          <w:rFonts w:ascii="Times New Roman" w:h-ansi="Times New Roman" w:cs="Times New Roman"/>
          <w:sz w:val="24"/>
          <w:sz-cs w:val="24"/>
        </w:rPr>
        <w:t xml:space="preserve">, tra la delegazione di parte pubblica per la negoziazione decentrata di livello regionale, ed i  rappresentanti  della  delegazione  sindacale  regionale, ai sensi  dell'art.4  comma  3, lett. b  ed art 9 comma 2   CCNL  2002/2005  del  comparto scuola.</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LE PARTI</w:t>
      </w:r>
    </w:p>
    <w:p>
      <w:pPr>
        <w:jc w:val="both"/>
      </w:pPr>
      <w:r>
        <w:rPr>
          <w:rFonts w:ascii="Times New Roman" w:h-ansi="Times New Roman" w:cs="Times New Roman"/>
          <w:sz w:val="24"/>
          <w:sz-cs w:val="24"/>
        </w:rPr>
        <w:t xml:space="preserve"/>
      </w:r>
    </w:p>
    <w:p>
      <w:pPr>
        <w:jc w:val="both"/>
        <w:ind w:left="1410" w:first-line="-1410"/>
      </w:pPr>
      <w:r>
        <w:rPr>
          <w:rFonts w:ascii="Times New Roman" w:h-ansi="Times New Roman" w:cs="Times New Roman"/>
          <w:sz w:val="24"/>
          <w:sz-cs w:val="24"/>
        </w:rPr>
        <w:t xml:space="preserve">Premesso </w:t>
        <w:tab/>
        <w:t xml:space="preserve">che  il comma 2 dell’art. 9 – del vigente C.C.N.L. Comparto Scuola - dispone che ogni Direttore Generale regionale stipuli apposito contratto integrativo con le Organizzazioni Sindacali firmatarie del C.C.N.L. al fine di indicare i criteri di utilizzo da parte delle scuole del fondo accreditato dal MIUR la durata dei progetti, gli obiettivi di lotta all’emarginazione scolastica da conseguire e i sistemi di rilevazione dei risultati;</w:t>
      </w:r>
    </w:p>
    <w:p>
      <w:pPr>
        <w:jc w:val="both"/>
        <w:ind w:left="1410" w:first-line="-1410"/>
      </w:pPr>
      <w:r>
        <w:rPr>
          <w:rFonts w:ascii="Times New Roman" w:h-ansi="Times New Roman" w:cs="Times New Roman"/>
          <w:sz w:val="24"/>
          <w:sz-cs w:val="24"/>
        </w:rPr>
        <w:t xml:space="preserve"/>
      </w:r>
    </w:p>
    <w:p>
      <w:pPr>
        <w:jc w:val="both"/>
        <w:ind w:left="1410" w:first-line="-1410"/>
      </w:pPr>
      <w:r>
        <w:rPr>
          <w:rFonts w:ascii="Times New Roman" w:h-ansi="Times New Roman" w:cs="Times New Roman"/>
          <w:sz w:val="24"/>
          <w:sz-cs w:val="24"/>
        </w:rPr>
        <w:t xml:space="preserve">Premesso </w:t>
        <w:tab/>
        <w:t xml:space="preserve">che la ripartizione delle  risorse finanziarie destinate alle finalità di cui al presente accordo sono state finanziate dal MIUR avuto riguardo ai medesimi criteri già utilizzati lo scorso anno, con esplicita riserva di revisione dell’intera materia il prossimo anno scolastico, anticipando, peraltro già da questo anno la rilevazione nazionale degli esiti dei finanziamenti pregressi;</w:t>
      </w:r>
    </w:p>
    <w:p>
      <w:pPr>
        <w:jc w:val="both"/>
        <w:ind w:left="1410" w:first-line="-1410"/>
      </w:pPr>
      <w:r>
        <w:rPr>
          <w:rFonts w:ascii="Times New Roman" w:h-ansi="Times New Roman" w:cs="Times New Roman"/>
          <w:sz w:val="24"/>
          <w:sz-cs w:val="24"/>
        </w:rPr>
        <w:t xml:space="preserve"/>
      </w:r>
    </w:p>
    <w:p>
      <w:pPr>
        <w:jc w:val="both"/>
        <w:ind w:left="1410" w:first-line="-1410"/>
      </w:pPr>
      <w:r>
        <w:rPr>
          <w:rFonts w:ascii="Times New Roman" w:h-ansi="Times New Roman" w:cs="Times New Roman"/>
          <w:sz w:val="24"/>
          <w:sz-cs w:val="24"/>
        </w:rPr>
        <w:t xml:space="preserve">Premesso </w:t>
        <w:tab/>
        <w:t xml:space="preserve">che in data 5/12/08 si è convenuto, in sede di primo confronto sindacale, di utilizzare in modo semplificato la scheda di rilevazione avuto riguardo ai parametri previsti dal MIUR nella lettera circolare del Prot. N. AOODGSC/779</w:t>
        <w:tab/>
        <w:t xml:space="preserve"> del 26 novembre u.s. con la specifica distinzione fra alunni di recente immigrazione ( almeno due anni) dal resto delle platee studentesche non italofone;</w:t>
      </w:r>
    </w:p>
    <w:p>
      <w:pPr>
        <w:jc w:val="both"/>
        <w:ind w:left="1410" w:first-line="-1410"/>
      </w:pPr>
      <w:r>
        <w:rPr>
          <w:rFonts w:ascii="Times New Roman" w:h-ansi="Times New Roman" w:cs="Times New Roman"/>
          <w:sz w:val="24"/>
          <w:sz-cs w:val="24"/>
        </w:rPr>
        <w:t xml:space="preserve"/>
        <w:tab/>
        <w:t xml:space="preserve"/>
        <w:tab/>
        <w:t xml:space="preserve"/>
        <w:tab/>
        <w:t xml:space="preserve"/>
      </w:r>
    </w:p>
    <w:p>
      <w:pPr>
        <w:jc w:val="both"/>
        <w:ind w:left="1410" w:first-line="-1410"/>
      </w:pPr>
      <w:r>
        <w:rPr>
          <w:rFonts w:ascii="Times New Roman" w:h-ansi="Times New Roman" w:cs="Times New Roman"/>
          <w:sz w:val="24"/>
          <w:sz-cs w:val="24"/>
        </w:rPr>
        <w:t xml:space="preserve">Premesso </w:t>
        <w:tab/>
        <w:t xml:space="preserve">che il livello nazionale ha già individuato le caratteristiche necessarie di ogni proposta , consistenti nella:</w:t>
      </w:r>
    </w:p>
    <w:p>
      <w:pPr>
        <w:jc w:val="both"/>
        <w:ind w:left="1770" w:first-line="-360"/>
      </w:pPr>
      <w:r>
        <w:rPr>
          <w:rFonts w:ascii="Times New Roman" w:h-ansi="Times New Roman" w:cs="Times New Roman"/>
          <w:sz w:val="24"/>
          <w:sz-cs w:val="24"/>
        </w:rPr>
        <w:t xml:space="preserve">1.</w:t>
        <w:tab/>
        <w:t xml:space="preserve">centralità dello studente  e organizzazione di attività coerenti con i suoi bisogni, con attenzione prioritaria agli studenti di recente immigrazione non italofoni e alle situazioni a rischio di abbandono scolastico;</w:t>
      </w:r>
    </w:p>
    <w:p>
      <w:pPr>
        <w:jc w:val="both"/>
        <w:ind w:left="1770" w:first-line="-360"/>
      </w:pPr>
      <w:r>
        <w:rPr>
          <w:rFonts w:ascii="Times New Roman" w:h-ansi="Times New Roman" w:cs="Times New Roman"/>
          <w:sz w:val="24"/>
          <w:sz-cs w:val="24"/>
        </w:rPr>
        <w:t xml:space="preserve">2.</w:t>
        <w:tab/>
        <w:t xml:space="preserve"> inserimento dei progetti nel Piano dell’offerta formativa di ciascuna scuola coinvolta;</w:t>
      </w:r>
    </w:p>
    <w:p>
      <w:pPr>
        <w:jc w:val="both"/>
        <w:ind w:left="1770" w:first-line="-360"/>
      </w:pPr>
      <w:r>
        <w:rPr>
          <w:rFonts w:ascii="Times New Roman" w:h-ansi="Times New Roman" w:cs="Times New Roman"/>
          <w:sz w:val="24"/>
          <w:sz-cs w:val="24"/>
        </w:rPr>
        <w:t xml:space="preserve">3.</w:t>
        <w:tab/>
        <w:t xml:space="preserve">coinvolgimento attivo, nei progetti, di tutto il corpo docente, del personale non docente, dei genitori e degli altri soggetti istituzionali e territoriali; pr</w:t>
      </w:r>
    </w:p>
    <w:p>
      <w:pPr>
        <w:jc w:val="both"/>
        <w:ind w:left="1770" w:first-line="-360"/>
      </w:pPr>
      <w:r>
        <w:rPr>
          <w:rFonts w:ascii="Times New Roman" w:h-ansi="Times New Roman" w:cs="Times New Roman"/>
          <w:sz w:val="24"/>
          <w:sz-cs w:val="24"/>
        </w:rPr>
        <w:t xml:space="preserve">4.</w:t>
        <w:tab/>
        <w:t xml:space="preserve">promozione di "reti di scuole" e di "reti interistituzionali", ovvero di “patti educativi territoriali” al fine di utilizzare nel modo più efficace le risorse umane e finanziarie disponibili.</w:t>
      </w:r>
    </w:p>
    <w:p>
      <w:pPr>
        <w:jc w:val="both"/>
      </w:pPr>
      <w:r>
        <w:rPr>
          <w:rFonts w:ascii="Times New Roman" w:h-ansi="Times New Roman" w:cs="Times New Roman"/>
          <w:sz w:val="24"/>
          <w:sz-cs w:val="24"/>
        </w:rPr>
        <w:t xml:space="preserve"/>
      </w:r>
    </w:p>
    <w:p>
      <w:pPr>
        <w:jc w:val="both"/>
        <w:ind w:left="3540" w:first-line="708"/>
      </w:pPr>
      <w:r>
        <w:rPr>
          <w:rFonts w:ascii="Times New Roman" w:h-ansi="Times New Roman" w:cs="Times New Roman"/>
          <w:sz w:val="24"/>
          <w:sz-cs w:val="24"/>
        </w:rPr>
        <w:t xml:space="preserve">CONCORDANO</w:t>
      </w:r>
    </w:p>
    <w:p>
      <w:pPr>
        <w:jc w:val="both"/>
        <w:ind w:left="3540" w:first-line="708"/>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Le seguenti modalità di </w:t>
      </w:r>
      <w:r>
        <w:rPr>
          <w:rFonts w:ascii="Times New Roman" w:h-ansi="Times New Roman" w:cs="Times New Roman"/>
          <w:sz w:val="24"/>
          <w:sz-cs w:val="24"/>
          <w:i/>
        </w:rPr>
        <w:t xml:space="preserve">allocazione delle risorse</w:t>
      </w:r>
      <w:r>
        <w:rPr>
          <w:rFonts w:ascii="Times New Roman" w:h-ansi="Times New Roman" w:cs="Times New Roman"/>
          <w:sz w:val="24"/>
          <w:sz-cs w:val="24"/>
        </w:rPr>
        <w:t xml:space="preserv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FASE ISTRUTTORIA PRELIMINARE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L’amministrazione inviterà le singole scuole   a definire attraverso la “scheda proposta” il budget richiesto per l’ano scolastico 2008/09 e, nello stesso tempo, la compilazione del rendiconto finanziario 2007/08 attraverso il modello ministeriale di rilevazione di cui alla circolare AOOODGSC/780 del 26 novembre 2008 accompagnato anche da una scheda di rilevazione finanziaria ( allegato 2 al presente contratto).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PRINCIPI E REGOLE DI VALUTAZONE</w:t>
      </w:r>
    </w:p>
    <w:p>
      <w:pPr>
        <w:jc w:val="both"/>
      </w:pPr>
      <w:r>
        <w:rPr>
          <w:rFonts w:ascii="Times New Roman" w:h-ansi="Times New Roman" w:cs="Times New Roman"/>
          <w:sz w:val="24"/>
          <w:sz-cs w:val="24"/>
        </w:rPr>
        <w:t xml:space="preserve"> </w:t>
      </w:r>
    </w:p>
    <w:p>
      <w:pPr>
        <w:jc w:val="both"/>
        <w:ind w:left="720" w:first-line="-360"/>
      </w:pPr>
      <w:r>
        <w:rPr>
          <w:rFonts w:ascii="Symbol" w:h-ansi="Symbol" w:cs="Symbol"/>
          <w:sz w:val="24"/>
          <w:sz-cs w:val="24"/>
        </w:rPr>
        <w:t xml:space="preserve">•</w:t>
        <w:tab/>
        <w:t xml:space="preserve"/>
      </w:r>
      <w:r>
        <w:rPr>
          <w:rFonts w:ascii="Times New Roman" w:h-ansi="Times New Roman" w:cs="Times New Roman"/>
          <w:sz w:val="24"/>
          <w:sz-cs w:val="24"/>
        </w:rPr>
        <w:t xml:space="preserve">La valutazione dei progetti presentati dalle scuola avverrà a cura dell’amministrazione che si avvarrà di un nucleo di valutazione appositamente costituito, il quale procederà, nell’ambito del budget disponibile  e secondo il procedimento di cui al successivo paragrafo, </w:t>
      </w:r>
      <w:r>
        <w:rPr>
          <w:rFonts w:ascii="Times New Roman" w:h-ansi="Times New Roman" w:cs="Times New Roman"/>
          <w:sz w:val="24"/>
          <w:sz-cs w:val="24"/>
          <w:i/>
        </w:rPr>
        <w:t xml:space="preserve">a redigere il documento finale di assegnazione avuto comunque riguardo alle seguenti specifiche di accesso, cui dovranno ispirarsi tutti i progetti presentati, ovvero:</w:t>
      </w:r>
    </w:p>
    <w:p>
      <w:pPr>
        <w:jc w:val="both"/>
        <w:ind w:left="1440" w:first-line="-360"/>
      </w:pPr>
      <w:r>
        <w:rPr>
          <w:rFonts w:ascii="Courier New" w:h-ansi="Courier New" w:cs="Courier New"/>
          <w:sz w:val="24"/>
          <w:sz-cs w:val="24"/>
        </w:rPr>
        <w:t xml:space="preserve">o</w:t>
        <w:tab/>
        <w:t xml:space="preserve"/>
      </w:r>
      <w:r>
        <w:rPr>
          <w:rFonts w:ascii="Times New Roman" w:h-ansi="Times New Roman" w:cs="Times New Roman"/>
          <w:sz w:val="24"/>
          <w:sz-cs w:val="24"/>
        </w:rPr>
        <w:t xml:space="preserve">Capacità di rendicontazione delle risorse a tali fini dedicati negli anni precedenti;</w:t>
      </w:r>
    </w:p>
    <w:p>
      <w:pPr>
        <w:jc w:val="both"/>
        <w:ind w:left="1440" w:first-line="-360"/>
      </w:pPr>
      <w:r>
        <w:rPr>
          <w:rFonts w:ascii="Courier New" w:h-ansi="Courier New" w:cs="Courier New"/>
          <w:sz w:val="24"/>
          <w:sz-cs w:val="24"/>
        </w:rPr>
        <w:t xml:space="preserve">o</w:t>
        <w:tab/>
        <w:t xml:space="preserve"/>
      </w:r>
      <w:r>
        <w:rPr>
          <w:rFonts w:ascii="Times New Roman" w:h-ansi="Times New Roman" w:cs="Times New Roman"/>
          <w:sz w:val="24"/>
          <w:sz-cs w:val="24"/>
        </w:rPr>
        <w:t xml:space="preserve">Estensione delle risorse a più figure professionali interne all’istituto;</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PROCEDIMENTODI VALUTAZIONE DA PARTE DEL NUCLEO</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Tenuto conto che i  progetti ex art 9 CCNL, si inseriscono in un più generale contesto che connota l’Offerta Formativa dell’istituto,  la parti ritengono rilevante la contestualizzazione delle azioni in tale </w:t>
      </w:r>
      <w:r>
        <w:rPr>
          <w:rFonts w:ascii="Times New Roman" w:h-ansi="Times New Roman" w:cs="Times New Roman"/>
          <w:sz w:val="24"/>
          <w:sz-cs w:val="24"/>
          <w:i/>
        </w:rPr>
        <w:t xml:space="preserve">ambito operativo</w:t>
      </w:r>
      <w:r>
        <w:rPr>
          <w:rFonts w:ascii="Times New Roman" w:h-ansi="Times New Roman" w:cs="Times New Roman"/>
          <w:sz w:val="24"/>
          <w:sz-cs w:val="24"/>
        </w:rPr>
        <w:t xml:space="preserve">. A tal fine il nucleo disporrà di una tabella di valutazione in cui le singole voci e parametri assumono  un peso ponderale determinato, al fine di stabilire un punteggio finale complessivo.</w:t>
      </w:r>
    </w:p>
    <w:p>
      <w:pPr>
        <w:jc w:val="both"/>
      </w:pPr>
      <w:r>
        <w:rPr>
          <w:rFonts w:ascii="Times New Roman" w:h-ansi="Times New Roman" w:cs="Times New Roman"/>
          <w:sz w:val="24"/>
          <w:sz-cs w:val="24"/>
        </w:rPr>
        <w:t xml:space="preserve">La tabella ponderale sarà divisa per macroaree e  conterrà le seguenti voci:</w:t>
      </w:r>
    </w:p>
    <w:p>
      <w:pPr>
        <w:jc w:val="both"/>
        <w:ind w:left="1080"/>
      </w:pPr>
      <w:r>
        <w:rPr>
          <w:rFonts w:ascii="Times New Roman" w:h-ansi="Times New Roman" w:cs="Times New Roman"/>
          <w:sz w:val="24"/>
          <w:sz-cs w:val="24"/>
        </w:rPr>
        <w:t xml:space="preserve"/>
      </w:r>
    </w:p>
    <w:p>
      <w:pPr>
        <w:jc w:val="both"/>
        <w:ind w:left="720" w:first-line="-360"/>
      </w:pPr>
      <w:r>
        <w:rPr>
          <w:rFonts w:ascii="Symbol" w:h-ansi="Symbol" w:cs="Symbol"/>
          <w:sz w:val="24"/>
          <w:sz-cs w:val="24"/>
        </w:rPr>
        <w:t xml:space="preserve">•</w:t>
        <w:tab/>
        <w:t xml:space="preserve"/>
      </w:r>
      <w:r>
        <w:rPr>
          <w:rFonts w:ascii="Times New Roman" w:h-ansi="Times New Roman" w:cs="Times New Roman"/>
          <w:sz w:val="24"/>
          <w:sz-cs w:val="24"/>
        </w:rPr>
        <w:t xml:space="preserve">CARATTERISTICHE DELLA DOMANDA E DELL’OFFERTA</w:t>
      </w:r>
    </w:p>
    <w:p>
      <w:pPr>
        <w:jc w:val="both"/>
        <w:ind w:left="1440" w:first-line="-360"/>
      </w:pPr>
      <w:r>
        <w:rPr>
          <w:rFonts w:ascii="Courier New" w:h-ansi="Courier New" w:cs="Courier New"/>
          <w:sz w:val="24"/>
          <w:sz-cs w:val="24"/>
        </w:rPr>
        <w:t xml:space="preserve">o</w:t>
        <w:tab/>
        <w:t xml:space="preserve"/>
      </w:r>
      <w:r>
        <w:rPr>
          <w:rFonts w:ascii="Times New Roman" w:h-ansi="Times New Roman" w:cs="Times New Roman"/>
          <w:sz w:val="24"/>
          <w:sz-cs w:val="24"/>
        </w:rPr>
        <w:t xml:space="preserve">Numero degli alunni stranieri di recente immigrazione ( inteso come inseriti nel contesto scolastico italiano da non più di due anni scolastici) coinvolti nel progetto;</w:t>
      </w:r>
    </w:p>
    <w:p>
      <w:pPr>
        <w:jc w:val="both"/>
        <w:ind w:left="1440" w:first-line="-360"/>
      </w:pPr>
      <w:r>
        <w:rPr>
          <w:rFonts w:ascii="Courier New" w:h-ansi="Courier New" w:cs="Courier New"/>
          <w:sz w:val="24"/>
          <w:sz-cs w:val="24"/>
        </w:rPr>
        <w:t xml:space="preserve">o</w:t>
        <w:tab/>
        <w:t xml:space="preserve"/>
      </w:r>
      <w:r>
        <w:rPr>
          <w:rFonts w:ascii="Times New Roman" w:h-ansi="Times New Roman" w:cs="Times New Roman"/>
          <w:sz w:val="24"/>
          <w:sz-cs w:val="24"/>
        </w:rPr>
        <w:t xml:space="preserve">Coinvolgimento dei genitori nel progetto di istituto ( o di rete);</w:t>
      </w:r>
    </w:p>
    <w:p>
      <w:pPr>
        <w:jc w:val="both"/>
        <w:ind w:left="1440" w:first-line="-360"/>
      </w:pPr>
      <w:r>
        <w:rPr>
          <w:rFonts w:ascii="Courier New" w:h-ansi="Courier New" w:cs="Courier New"/>
          <w:sz w:val="24"/>
          <w:sz-cs w:val="24"/>
        </w:rPr>
        <w:t xml:space="preserve">o</w:t>
        <w:tab/>
        <w:t xml:space="preserve"/>
      </w:r>
      <w:r>
        <w:rPr>
          <w:rFonts w:ascii="Times New Roman" w:h-ansi="Times New Roman" w:cs="Times New Roman"/>
          <w:sz w:val="24"/>
          <w:sz-cs w:val="24"/>
        </w:rPr>
        <w:t xml:space="preserve">Numero di ore di didattica aggiuntive all’insegnamento;</w:t>
      </w:r>
    </w:p>
    <w:p>
      <w:pPr>
        <w:jc w:val="both"/>
        <w:ind w:left="1440" w:first-line="-360"/>
      </w:pPr>
      <w:r>
        <w:rPr>
          <w:rFonts w:ascii="Courier New" w:h-ansi="Courier New" w:cs="Courier New"/>
          <w:sz w:val="24"/>
          <w:sz-cs w:val="24"/>
        </w:rPr>
        <w:t xml:space="preserve">o</w:t>
        <w:tab/>
        <w:t xml:space="preserve"/>
      </w:r>
      <w:r>
        <w:rPr>
          <w:rFonts w:ascii="Times New Roman" w:h-ansi="Times New Roman" w:cs="Times New Roman"/>
          <w:sz w:val="24"/>
          <w:sz-cs w:val="24"/>
        </w:rPr>
        <w:t xml:space="preserve">Numero globale di soggetti stranieri ( alunni e genitori) coinvolti nel progetto</w:t>
      </w:r>
    </w:p>
    <w:p>
      <w:pPr>
        <w:jc w:val="both"/>
        <w:ind w:left="1080"/>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Costituisce in ogni caso condizione dell’accesso la capacità di rendicontare in modo analitico le precedenti assegnazioni e il corretto uso delle risorse del CCNL, che sono di esclusivamente  destinate al personale docente ed ATA.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INFORMATIVA E MONITORAGGIO</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u w:val="single"/>
        </w:rPr>
        <w:t xml:space="preserve">Le parti concordano che al fine di rendere trasparente sia la richiesta che le modalità di utilizzo dei fondi da parte delle scuole, queste ultime si impegnino a pubblicare sul proprio sito Web il progetto ed i tempi di esecuzione nonché la rendicontazione finale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L’Ufficio regionale, dopo la valutazione in sede tecnica dei progetti ed alla elaborazione del documento analitico darà informativa alle OO.SS.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In tale sede  renderà note altresì  le risultanze dei monitoraggi pregressi.</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CRITERI GENERALI PER L’USO INTERNO DELLE RISORSE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Le parti riconoscono la piena autonomia decisionale della contrattazione interna agli istituti in materia di compensi al personale per le attività aggiuntive; </w:t>
      </w:r>
    </w:p>
    <w:p>
      <w:pPr>
        <w:jc w:val="both"/>
      </w:pPr>
      <w:r>
        <w:rPr>
          <w:rFonts w:ascii="Times New Roman" w:h-ansi="Times New Roman" w:cs="Times New Roman"/>
          <w:sz w:val="24"/>
          <w:sz-cs w:val="24"/>
        </w:rPr>
        <w:t xml:space="preserve">Sottolineano tuttavia la circostanza che detti fondi costituiscono retribuzione differita del personale al pari del fondo d’istituto, per cui il relativo uso non può non avere i medesimi destinatari: Personale interno docente ed ATA</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t>
      </w:r>
      <w:r>
        <w:rPr>
          <w:rFonts w:ascii="Times New Roman" w:h-ansi="Times New Roman" w:cs="Times New Roman"/>
          <w:sz w:val="22"/>
          <w:sz-cs w:val="22"/>
        </w:rPr>
        <w:t xml:space="preserve">Delegazione di parte pubblica</w:t>
      </w:r>
    </w:p>
    <w:p>
      <w:pPr>
        <w:jc w:val="both"/>
        <w:ind w:left="3780"/>
      </w:pPr>
      <w:r>
        <w:rPr>
          <w:rFonts w:ascii="Times New Roman" w:h-ansi="Times New Roman" w:cs="Times New Roman"/>
          <w:sz w:val="22"/>
          <w:sz-cs w:val="22"/>
        </w:rPr>
        <w:t xml:space="preserve">Rossi_________________________________</w:t>
      </w:r>
    </w:p>
    <w:p>
      <w:pPr>
        <w:jc w:val="both"/>
        <w:ind w:left="3780"/>
      </w:pPr>
      <w:r>
        <w:rPr>
          <w:rFonts w:ascii="Times New Roman" w:h-ansi="Times New Roman" w:cs="Times New Roman"/>
          <w:sz w:val="22"/>
          <w:sz-cs w:val="22"/>
        </w:rPr>
        <w:t xml:space="preserve"/>
      </w:r>
    </w:p>
    <w:p>
      <w:pPr>
        <w:jc w:val="both"/>
        <w:ind w:left="3780"/>
      </w:pPr>
      <w:r>
        <w:rPr>
          <w:rFonts w:ascii="Times New Roman" w:h-ansi="Times New Roman" w:cs="Times New Roman"/>
          <w:sz w:val="22"/>
          <w:sz-cs w:val="22"/>
        </w:rPr>
        <w:t xml:space="preserve">Bori    _______________________________</w:t>
      </w:r>
    </w:p>
    <w:p>
      <w:pPr>
        <w:jc w:val="both"/>
        <w:ind w:left="3780"/>
      </w:pPr>
      <w:r>
        <w:rPr>
          <w:rFonts w:ascii="Times New Roman" w:h-ansi="Times New Roman" w:cs="Times New Roman"/>
          <w:sz w:val="22"/>
          <w:sz-cs w:val="22"/>
        </w:rPr>
        <w:t xml:space="preserve"/>
      </w:r>
    </w:p>
    <w:p>
      <w:pPr>
        <w:jc w:val="both"/>
        <w:ind w:left="3780"/>
      </w:pPr>
      <w:r>
        <w:rPr>
          <w:rFonts w:ascii="Times New Roman" w:h-ansi="Times New Roman" w:cs="Times New Roman"/>
          <w:sz w:val="22"/>
          <w:sz-cs w:val="22"/>
        </w:rPr>
        <w:t xml:space="preserve">Bodo ________________________________</w:t>
      </w:r>
    </w:p>
    <w:p>
      <w:pPr>
        <w:jc w:val="both"/>
        <w:ind w:left="3780"/>
      </w:pPr>
      <w:r>
        <w:rPr>
          <w:rFonts w:ascii="Times New Roman" w:h-ansi="Times New Roman" w:cs="Times New Roman"/>
          <w:sz w:val="22"/>
          <w:sz-cs w:val="22"/>
        </w:rPr>
        <w:t xml:space="preserve"/>
        <w:tab/>
        <w:t xml:space="preserve"/>
        <w:tab/>
        <w:t xml:space="preserve"/>
        <w:tab/>
        <w:t xml:space="preserve"/>
        <w:tab/>
        <w:t xml:space="preserve"/>
        <w:tab/>
        <w:t xml:space="preserve"/>
        <w:tab/>
        <w:t xml:space="preserve"/>
      </w:r>
    </w:p>
    <w:p>
      <w:pPr>
        <w:jc w:val="both"/>
        <w:ind w:left="3780"/>
      </w:pPr>
      <w:r>
        <w:rPr>
          <w:rFonts w:ascii="Times New Roman" w:h-ansi="Times New Roman" w:cs="Times New Roman"/>
          <w:sz w:val="22"/>
          <w:sz-cs w:val="22"/>
        </w:rPr>
        <w:t xml:space="preserve">Monetti _______________________________</w:t>
      </w:r>
    </w:p>
    <w:p>
      <w:pPr>
        <w:jc w:val="both"/>
        <w:ind w:left="3780"/>
      </w:pPr>
      <w:r>
        <w:rPr>
          <w:rFonts w:ascii="Times New Roman" w:h-ansi="Times New Roman" w:cs="Times New Roman"/>
          <w:sz w:val="22"/>
          <w:sz-cs w:val="22"/>
        </w:rPr>
        <w:t xml:space="preserve"/>
      </w:r>
    </w:p>
    <w:p>
      <w:pPr>
        <w:jc w:val="both"/>
        <w:ind w:left="3780"/>
      </w:pPr>
      <w:r>
        <w:rPr>
          <w:rFonts w:ascii="Times New Roman" w:h-ansi="Times New Roman" w:cs="Times New Roman"/>
          <w:sz w:val="22"/>
          <w:sz-cs w:val="22"/>
        </w:rPr>
        <w:t xml:space="preserve">Petruzzo  ____________________________ </w:t>
      </w:r>
    </w:p>
    <w:p>
      <w:pPr>
        <w:jc w:val="both"/>
        <w:ind w:left="3780"/>
      </w:pPr>
      <w:r>
        <w:rPr>
          <w:rFonts w:ascii="Times New Roman" w:h-ansi="Times New Roman" w:cs="Times New Roman"/>
          <w:sz w:val="22"/>
          <w:sz-cs w:val="22"/>
        </w:rPr>
        <w:t xml:space="preserve"/>
      </w:r>
    </w:p>
    <w:p>
      <w:pPr>
        <w:jc w:val="both"/>
        <w:ind w:left="3780"/>
      </w:pPr>
      <w:r>
        <w:rPr>
          <w:rFonts w:ascii="Times New Roman" w:h-ansi="Times New Roman" w:cs="Times New Roman"/>
          <w:sz w:val="22"/>
          <w:sz-cs w:val="22"/>
        </w:rPr>
        <w:t xml:space="preserve"/>
      </w:r>
    </w:p>
    <w:p>
      <w:pPr>
        <w:jc w:val="both"/>
      </w:pPr>
      <w:r>
        <w:rPr>
          <w:rFonts w:ascii="Times New Roman" w:h-ansi="Times New Roman" w:cs="Times New Roman"/>
          <w:sz w:val="22"/>
          <w:sz-cs w:val="22"/>
        </w:rPr>
        <w:t xml:space="preserve">Delegazione sindacale </w:t>
      </w:r>
    </w:p>
    <w:p>
      <w:pPr>
        <w:jc w:val="both"/>
        <w:ind w:left="3780"/>
      </w:pPr>
      <w:r>
        <w:rPr>
          <w:rFonts w:ascii="Times New Roman" w:h-ansi="Times New Roman" w:cs="Times New Roman"/>
          <w:sz w:val="22"/>
          <w:sz-cs w:val="22"/>
        </w:rPr>
        <w:t xml:space="preserve"/>
      </w:r>
    </w:p>
    <w:p>
      <w:pPr>
        <w:jc w:val="both"/>
        <w:ind w:left="3780"/>
      </w:pPr>
      <w:r>
        <w:rPr>
          <w:rFonts w:ascii="Times New Roman" w:h-ansi="Times New Roman" w:cs="Times New Roman"/>
          <w:sz w:val="22"/>
          <w:sz-cs w:val="22"/>
        </w:rPr>
        <w:t xml:space="preserve">CGIL firmato— Renelli__________________</w:t>
      </w:r>
    </w:p>
    <w:p>
      <w:pPr>
        <w:jc w:val="both"/>
        <w:ind w:left="3780"/>
      </w:pPr>
      <w:r>
        <w:rPr>
          <w:rFonts w:ascii="Times New Roman" w:h-ansi="Times New Roman" w:cs="Times New Roman"/>
          <w:sz w:val="22"/>
          <w:sz-cs w:val="22"/>
        </w:rPr>
        <w:t xml:space="preserve"/>
      </w:r>
    </w:p>
    <w:p>
      <w:pPr>
        <w:jc w:val="both"/>
        <w:ind w:left="3780"/>
      </w:pPr>
      <w:r>
        <w:rPr>
          <w:rFonts w:ascii="Times New Roman" w:h-ansi="Times New Roman" w:cs="Times New Roman"/>
          <w:sz w:val="22"/>
          <w:sz-cs w:val="22"/>
        </w:rPr>
        <w:t xml:space="preserve">CISL   firmato--- Barbacci____________________</w:t>
      </w:r>
    </w:p>
    <w:p>
      <w:pPr>
        <w:jc w:val="both"/>
        <w:ind w:left="3780"/>
      </w:pPr>
      <w:r>
        <w:rPr>
          <w:rFonts w:ascii="Times New Roman" w:h-ansi="Times New Roman" w:cs="Times New Roman"/>
          <w:sz w:val="22"/>
          <w:sz-cs w:val="22"/>
        </w:rPr>
        <w:t xml:space="preserve"/>
        <w:tab/>
        <w:t xml:space="preserve"/>
        <w:tab/>
        <w:t xml:space="preserve"/>
        <w:tab/>
        <w:t xml:space="preserve"/>
      </w:r>
    </w:p>
    <w:p>
      <w:pPr>
        <w:jc w:val="both"/>
        <w:ind w:left="3780"/>
      </w:pPr>
      <w:r>
        <w:rPr>
          <w:rFonts w:ascii="Times New Roman" w:h-ansi="Times New Roman" w:cs="Times New Roman"/>
          <w:sz w:val="22"/>
          <w:sz-cs w:val="22"/>
        </w:rPr>
        <w:t xml:space="preserve">UIL     firmato--Cerafischi _______________________</w:t>
        <w:tab/>
        <w:t xml:space="preserve"/>
        <w:tab/>
        <w:t xml:space="preserve"/>
        <w:tab/>
        <w:t xml:space="preserve"/>
      </w:r>
    </w:p>
    <w:p>
      <w:pPr>
        <w:jc w:val="both"/>
        <w:ind w:left="3780"/>
      </w:pPr>
      <w:r>
        <w:rPr>
          <w:rFonts w:ascii="Times New Roman" w:h-ansi="Times New Roman" w:cs="Times New Roman"/>
          <w:sz w:val="22"/>
          <w:sz-cs w:val="22"/>
        </w:rPr>
        <w:t xml:space="preserve">SNALS  fi.to—Bianchi ____________________________</w:t>
      </w:r>
    </w:p>
    <w:p>
      <w:pPr>
        <w:jc w:val="both"/>
        <w:ind w:left="3780" w:first-line="708"/>
      </w:pPr>
      <w:r>
        <w:rPr>
          <w:rFonts w:ascii="Times New Roman" w:h-ansi="Times New Roman" w:cs="Times New Roman"/>
          <w:sz w:val="22"/>
          <w:sz-cs w:val="22"/>
        </w:rPr>
        <w:t xml:space="preserve"/>
      </w:r>
    </w:p>
    <w:p>
      <w:pPr>
        <w:jc w:val="both"/>
        <w:ind w:left="3780"/>
      </w:pPr>
      <w:r>
        <w:rPr>
          <w:rFonts w:ascii="Times New Roman" w:h-ansi="Times New Roman" w:cs="Times New Roman"/>
          <w:sz w:val="22"/>
          <w:sz-cs w:val="22"/>
        </w:rPr>
        <w:t xml:space="preserve">GILDA/UMSA Pirrami______________________________</w:t>
      </w:r>
      <w:r>
        <w:rPr>
          <w:rFonts w:ascii="Times New Roman" w:h-ansi="Times New Roman" w:cs="Times New Roman"/>
          <w:sz w:val="24"/>
          <w:sz-cs w:val="24"/>
        </w:rPr>
        <w:t xml:space="preserve"/>
      </w:r>
    </w:p>
    <w:p>
      <w:pPr>
        <w:jc w:val="both"/>
        <w:ind w:left="3780"/>
      </w:pPr>
      <w:r>
        <w:rPr>
          <w:rFonts w:ascii="Times New Roman" w:h-ansi="Times New Roman" w:cs="Times New Roman"/>
          <w:sz w:val="24"/>
          <w:sz-cs w:val="24"/>
        </w:rPr>
        <w:t xml:space="preserve"/>
      </w:r>
    </w:p>
    <w:p>
      <w:pPr>
        <w:jc w:val="both"/>
        <w:ind w:left="3780"/>
      </w:pPr>
      <w:r>
        <w:rPr>
          <w:rFonts w:ascii="Times New Roman" w:h-ansi="Times New Roman" w:cs="Times New Roman"/>
          <w:sz w:val="24"/>
          <w:sz-cs w:val="24"/>
        </w:rPr>
        <w:t xml:space="preserve"/>
      </w:r>
    </w:p>
    <w:sectPr>
      <w:pgSz w:w="11900" w:h="16840"/>
      <w:pgMar w:top="2516"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domenico.petruzzo.pg</dc:creator>
</cp:coreProperties>
</file>

<file path=docProps/meta.xml><?xml version="1.0" encoding="utf-8"?>
<meta xmlns="http://schemas.apple.com/cocoa/2006/metadata">
  <generator>CocoaOOXMLWriter/949.35</generator>
</meta>
</file>